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>
      <w:pPr>
        <w:pStyle w:val="Nadpis1"/>
        <w:rPr>
          <w:sz w:val="48"/>
          <w:szCs w:val="48"/>
        </w:rPr>
      </w:pPr>
    </w:p>
    <w:p w:rsidR="00370D0C" w:rsidRDefault="00370D0C" w:rsidP="00370D0C">
      <w:pPr>
        <w:pStyle w:val="Nadpis1"/>
        <w:jc w:val="center"/>
        <w:rPr>
          <w:rFonts w:ascii="Garamond" w:hAnsi="Garamond"/>
          <w:sz w:val="48"/>
          <w:szCs w:val="48"/>
        </w:rPr>
      </w:pPr>
      <w:r>
        <w:rPr>
          <w:rFonts w:ascii="Garamond" w:hAnsi="Garamond"/>
          <w:sz w:val="48"/>
          <w:szCs w:val="48"/>
        </w:rPr>
        <w:t>TECHNICKÁ ZPRÁVA</w:t>
      </w:r>
    </w:p>
    <w:p w:rsidR="00370D0C" w:rsidRDefault="00370D0C" w:rsidP="00370D0C"/>
    <w:p w:rsidR="00370D0C" w:rsidRPr="00071F36" w:rsidRDefault="00370D0C" w:rsidP="00370D0C">
      <w:pPr>
        <w:jc w:val="center"/>
        <w:rPr>
          <w:rFonts w:ascii="Garamond" w:hAnsi="Garamond" w:cs="Tahoma"/>
          <w:b/>
          <w:i/>
          <w:color w:val="FF0000"/>
          <w:sz w:val="36"/>
          <w:szCs w:val="36"/>
        </w:rPr>
      </w:pPr>
      <w:proofErr w:type="gramStart"/>
      <w:r>
        <w:rPr>
          <w:rFonts w:ascii="Garamond" w:hAnsi="Garamond" w:cs="Tahoma"/>
          <w:b/>
          <w:i/>
          <w:color w:val="FF0000"/>
          <w:sz w:val="36"/>
          <w:szCs w:val="36"/>
        </w:rPr>
        <w:t>D1.4.3</w:t>
      </w:r>
      <w:proofErr w:type="gramEnd"/>
      <w:r>
        <w:rPr>
          <w:rFonts w:ascii="Garamond" w:hAnsi="Garamond" w:cs="Tahoma"/>
          <w:b/>
          <w:i/>
          <w:color w:val="FF0000"/>
          <w:sz w:val="36"/>
          <w:szCs w:val="36"/>
        </w:rPr>
        <w:t xml:space="preserve"> </w:t>
      </w:r>
      <w:r w:rsidRPr="00071F36">
        <w:rPr>
          <w:rFonts w:ascii="Garamond" w:hAnsi="Garamond" w:cs="Tahoma"/>
          <w:b/>
          <w:i/>
          <w:color w:val="FF0000"/>
          <w:sz w:val="36"/>
          <w:szCs w:val="36"/>
        </w:rPr>
        <w:t>vytápění</w:t>
      </w:r>
    </w:p>
    <w:p w:rsidR="00370D0C" w:rsidRDefault="00370D0C" w:rsidP="00370D0C">
      <w:pPr>
        <w:jc w:val="center"/>
        <w:rPr>
          <w:rFonts w:ascii="Monotype Corsiva" w:hAnsi="Monotype Corsiva" w:cs="Tahoma"/>
          <w:b/>
          <w:color w:val="FFC000"/>
          <w:sz w:val="36"/>
          <w:szCs w:val="36"/>
        </w:rPr>
      </w:pPr>
    </w:p>
    <w:p w:rsidR="00370D0C" w:rsidRDefault="00370D0C" w:rsidP="00370D0C"/>
    <w:p w:rsidR="00370D0C" w:rsidRDefault="00370D0C" w:rsidP="00370D0C">
      <w:pPr>
        <w:tabs>
          <w:tab w:val="left" w:pos="1725"/>
        </w:tabs>
      </w:pPr>
      <w:r>
        <w:tab/>
      </w:r>
    </w:p>
    <w:p w:rsidR="00370D0C" w:rsidRDefault="00370D0C" w:rsidP="00370D0C"/>
    <w:p w:rsidR="00370D0C" w:rsidRDefault="00370D0C" w:rsidP="00370D0C"/>
    <w:p w:rsidR="00370D0C" w:rsidRDefault="00370D0C" w:rsidP="00370D0C">
      <w:pPr>
        <w:rPr>
          <w:b/>
        </w:rPr>
      </w:pPr>
    </w:p>
    <w:p w:rsidR="00370D0C" w:rsidRDefault="00370D0C" w:rsidP="00370D0C">
      <w:pPr>
        <w:rPr>
          <w:rFonts w:ascii="Garamond" w:hAnsi="Garamond"/>
          <w:b/>
          <w:bCs/>
          <w:sz w:val="32"/>
          <w:szCs w:val="32"/>
        </w:rPr>
      </w:pPr>
      <w:proofErr w:type="gramStart"/>
      <w:r>
        <w:t xml:space="preserve">Akce     :   </w:t>
      </w:r>
      <w:r>
        <w:tab/>
      </w:r>
      <w:r>
        <w:rPr>
          <w:rFonts w:ascii="Garamond" w:hAnsi="Garamond"/>
          <w:b/>
          <w:bCs/>
          <w:sz w:val="32"/>
          <w:szCs w:val="32"/>
        </w:rPr>
        <w:t>KONTAKTNÍ</w:t>
      </w:r>
      <w:proofErr w:type="gramEnd"/>
      <w:r>
        <w:rPr>
          <w:rFonts w:ascii="Garamond" w:hAnsi="Garamond"/>
          <w:b/>
          <w:bCs/>
          <w:sz w:val="32"/>
          <w:szCs w:val="32"/>
        </w:rPr>
        <w:t xml:space="preserve"> CENTRUM KOLIŠTĚ </w:t>
      </w:r>
    </w:p>
    <w:p w:rsidR="00370D0C" w:rsidRPr="00C2567C" w:rsidRDefault="00370D0C" w:rsidP="00370D0C">
      <w:pPr>
        <w:rPr>
          <w:rFonts w:ascii="Garamond" w:hAnsi="Garamond"/>
          <w:b/>
          <w:bCs/>
          <w:sz w:val="36"/>
          <w:szCs w:val="36"/>
        </w:rPr>
      </w:pPr>
    </w:p>
    <w:p w:rsidR="00370D0C" w:rsidRDefault="00370D0C" w:rsidP="00370D0C">
      <w:pPr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ab/>
        <w:t xml:space="preserve">     </w:t>
      </w:r>
    </w:p>
    <w:p w:rsidR="00370D0C" w:rsidRDefault="00370D0C" w:rsidP="00370D0C">
      <w:pPr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Cs/>
        </w:rPr>
        <w:t>Místo:</w:t>
      </w:r>
      <w:r>
        <w:rPr>
          <w:rFonts w:ascii="Garamond" w:hAnsi="Garamond"/>
          <w:bCs/>
          <w:sz w:val="28"/>
          <w:szCs w:val="28"/>
        </w:rPr>
        <w:tab/>
      </w:r>
      <w:r>
        <w:rPr>
          <w:rFonts w:ascii="Garamond" w:hAnsi="Garamond"/>
          <w:b/>
          <w:bCs/>
          <w:sz w:val="28"/>
          <w:szCs w:val="28"/>
        </w:rPr>
        <w:tab/>
        <w:t xml:space="preserve">k. </w:t>
      </w:r>
      <w:proofErr w:type="spellStart"/>
      <w:r>
        <w:rPr>
          <w:rFonts w:ascii="Garamond" w:hAnsi="Garamond"/>
          <w:b/>
          <w:bCs/>
          <w:sz w:val="28"/>
          <w:szCs w:val="28"/>
        </w:rPr>
        <w:t>ú</w:t>
      </w:r>
      <w:proofErr w:type="spellEnd"/>
      <w:r>
        <w:rPr>
          <w:rFonts w:ascii="Garamond" w:hAnsi="Garamond"/>
          <w:b/>
          <w:bCs/>
          <w:sz w:val="28"/>
          <w:szCs w:val="28"/>
        </w:rPr>
        <w:t xml:space="preserve">. TRNITÁ P. P. Č. 1087/1, 187/2, 1087/6, </w:t>
      </w:r>
    </w:p>
    <w:p w:rsidR="00370D0C" w:rsidRDefault="00370D0C" w:rsidP="00370D0C">
      <w:pPr>
        <w:ind w:firstLine="708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 xml:space="preserve">     </w:t>
      </w:r>
    </w:p>
    <w:p w:rsidR="00370D0C" w:rsidRDefault="00370D0C" w:rsidP="00370D0C">
      <w:pPr>
        <w:rPr>
          <w:rFonts w:ascii="Garamond" w:hAnsi="Garamond"/>
          <w:b/>
          <w:bCs/>
          <w:sz w:val="28"/>
          <w:szCs w:val="28"/>
        </w:rPr>
      </w:pPr>
    </w:p>
    <w:p w:rsidR="00370D0C" w:rsidRDefault="00370D0C" w:rsidP="00370D0C">
      <w:pPr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Kraj.    </w:t>
      </w:r>
      <w:r>
        <w:rPr>
          <w:rFonts w:ascii="Garamond" w:hAnsi="Garamond"/>
          <w:bCs/>
        </w:rPr>
        <w:tab/>
      </w:r>
      <w:r>
        <w:rPr>
          <w:rFonts w:ascii="Garamond" w:hAnsi="Garamond"/>
          <w:bCs/>
        </w:rPr>
        <w:tab/>
      </w:r>
      <w:r>
        <w:rPr>
          <w:rFonts w:ascii="Garamond" w:hAnsi="Garamond"/>
          <w:b/>
          <w:bCs/>
          <w:sz w:val="28"/>
          <w:szCs w:val="28"/>
        </w:rPr>
        <w:t>JIHOMORAVSKÝ</w:t>
      </w:r>
    </w:p>
    <w:p w:rsidR="00370D0C" w:rsidRDefault="00370D0C" w:rsidP="00370D0C">
      <w:pPr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ab/>
        <w:t xml:space="preserve">     </w:t>
      </w:r>
    </w:p>
    <w:p w:rsidR="00370D0C" w:rsidRDefault="00370D0C" w:rsidP="00370D0C">
      <w:pPr>
        <w:rPr>
          <w:rFonts w:ascii="Garamond" w:hAnsi="Garamond"/>
          <w:b/>
          <w:bCs/>
        </w:rPr>
      </w:pPr>
      <w:r>
        <w:rPr>
          <w:rFonts w:ascii="Garamond" w:hAnsi="Garamond"/>
          <w:b/>
          <w:bCs/>
          <w:sz w:val="28"/>
          <w:szCs w:val="28"/>
        </w:rPr>
        <w:t xml:space="preserve">               </w:t>
      </w:r>
      <w:r>
        <w:rPr>
          <w:rFonts w:ascii="Garamond" w:hAnsi="Garamond"/>
          <w:b/>
          <w:bCs/>
        </w:rPr>
        <w:t xml:space="preserve">            </w:t>
      </w:r>
      <w:r>
        <w:rPr>
          <w:rFonts w:ascii="Arial Narrow" w:hAnsi="Arial Narrow"/>
          <w:b/>
          <w:bCs/>
        </w:rPr>
        <w:tab/>
        <w:t xml:space="preserve">             </w:t>
      </w:r>
    </w:p>
    <w:p w:rsidR="00370D0C" w:rsidRDefault="00370D0C" w:rsidP="00370D0C">
      <w:pPr>
        <w:ind w:left="708" w:hanging="708"/>
        <w:rPr>
          <w:rFonts w:ascii="Garamond" w:hAnsi="Garamond"/>
          <w:b/>
          <w:bCs/>
          <w:sz w:val="28"/>
          <w:szCs w:val="28"/>
        </w:rPr>
      </w:pPr>
      <w:proofErr w:type="gramStart"/>
      <w:r>
        <w:t>Investor :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rFonts w:ascii="Garamond" w:hAnsi="Garamond"/>
          <w:b/>
          <w:bCs/>
          <w:sz w:val="28"/>
          <w:szCs w:val="28"/>
        </w:rPr>
        <w:t>Statutární</w:t>
      </w:r>
      <w:proofErr w:type="gramEnd"/>
      <w:r>
        <w:rPr>
          <w:rFonts w:ascii="Garamond" w:hAnsi="Garamond"/>
          <w:b/>
          <w:bCs/>
          <w:sz w:val="28"/>
          <w:szCs w:val="28"/>
        </w:rPr>
        <w:t xml:space="preserve"> město Brno, Dominikánské nám. 196/1      </w:t>
      </w:r>
    </w:p>
    <w:p w:rsidR="00370D0C" w:rsidRDefault="00370D0C" w:rsidP="00370D0C">
      <w:pPr>
        <w:ind w:left="708" w:hanging="708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 xml:space="preserve">  </w:t>
      </w:r>
      <w:r>
        <w:rPr>
          <w:rFonts w:ascii="Garamond" w:hAnsi="Garamond"/>
          <w:b/>
          <w:bCs/>
          <w:sz w:val="28"/>
          <w:szCs w:val="28"/>
        </w:rPr>
        <w:tab/>
      </w:r>
      <w:r>
        <w:rPr>
          <w:rFonts w:ascii="Garamond" w:hAnsi="Garamond"/>
          <w:b/>
          <w:bCs/>
          <w:sz w:val="28"/>
          <w:szCs w:val="28"/>
        </w:rPr>
        <w:tab/>
      </w:r>
    </w:p>
    <w:p w:rsidR="00370D0C" w:rsidRDefault="00370D0C" w:rsidP="00370D0C">
      <w:pPr>
        <w:ind w:left="708" w:hanging="70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  <w:sz w:val="28"/>
          <w:szCs w:val="28"/>
        </w:rPr>
        <w:tab/>
      </w:r>
      <w:r>
        <w:rPr>
          <w:rFonts w:ascii="Garamond" w:hAnsi="Garamond"/>
          <w:b/>
          <w:bCs/>
          <w:sz w:val="28"/>
          <w:szCs w:val="28"/>
        </w:rPr>
        <w:tab/>
      </w:r>
    </w:p>
    <w:p w:rsidR="00370D0C" w:rsidRDefault="00370D0C" w:rsidP="00370D0C">
      <w:pPr>
        <w:ind w:left="708" w:hanging="70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  <w:t xml:space="preserve">    </w:t>
      </w:r>
    </w:p>
    <w:p w:rsidR="00370D0C" w:rsidRDefault="00370D0C" w:rsidP="00370D0C">
      <w:pPr>
        <w:ind w:left="708" w:hanging="70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  <w:t xml:space="preserve">     </w:t>
      </w:r>
      <w:r>
        <w:rPr>
          <w:rFonts w:ascii="Garamond" w:hAnsi="Garamond"/>
          <w:b/>
          <w:bCs/>
        </w:rPr>
        <w:tab/>
        <w:t xml:space="preserve">    </w:t>
      </w:r>
    </w:p>
    <w:p w:rsidR="00370D0C" w:rsidRDefault="00370D0C" w:rsidP="00370D0C">
      <w:pPr>
        <w:ind w:left="708" w:hanging="708"/>
        <w:rPr>
          <w:rFonts w:ascii="Garamond" w:hAnsi="Garamond"/>
          <w:b/>
          <w:bCs/>
        </w:rPr>
      </w:pPr>
    </w:p>
    <w:p w:rsidR="00370D0C" w:rsidRDefault="00370D0C" w:rsidP="00370D0C">
      <w:pPr>
        <w:ind w:left="708" w:hanging="70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</w:r>
    </w:p>
    <w:p w:rsidR="00370D0C" w:rsidRDefault="00370D0C" w:rsidP="00370D0C">
      <w:pPr>
        <w:rPr>
          <w:rFonts w:ascii="Arial Narrow" w:hAnsi="Arial Narrow"/>
          <w:b/>
          <w:bCs/>
        </w:rPr>
      </w:pPr>
      <w:r>
        <w:rPr>
          <w:rFonts w:ascii="Garamond" w:hAnsi="Garamond"/>
          <w:b/>
          <w:bCs/>
        </w:rPr>
        <w:tab/>
        <w:t xml:space="preserve">     </w:t>
      </w:r>
    </w:p>
    <w:p w:rsidR="00370D0C" w:rsidRDefault="00370D0C" w:rsidP="00370D0C">
      <w:pPr>
        <w:rPr>
          <w:rFonts w:ascii="Arial Narrow" w:hAnsi="Arial Narrow"/>
          <w:b/>
          <w:bCs/>
        </w:rPr>
      </w:pPr>
    </w:p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>
      <w:pPr>
        <w:rPr>
          <w:rFonts w:ascii="Garamond" w:hAnsi="Garamond"/>
          <w:b/>
        </w:rPr>
      </w:pPr>
      <w:proofErr w:type="gramStart"/>
      <w:r>
        <w:rPr>
          <w:b/>
        </w:rPr>
        <w:t xml:space="preserve">Datum  : </w:t>
      </w:r>
      <w:r>
        <w:rPr>
          <w:rFonts w:ascii="Garamond" w:hAnsi="Garamond"/>
          <w:b/>
        </w:rPr>
        <w:t>XII</w:t>
      </w:r>
      <w:proofErr w:type="gramEnd"/>
      <w:r>
        <w:rPr>
          <w:rFonts w:ascii="Garamond" w:hAnsi="Garamond"/>
          <w:b/>
        </w:rPr>
        <w:t>. 2022</w:t>
      </w:r>
      <w:r>
        <w:t xml:space="preserve">                                          Vypracoval:   </w:t>
      </w:r>
      <w:r>
        <w:rPr>
          <w:rFonts w:ascii="Garamond" w:hAnsi="Garamond"/>
          <w:b/>
        </w:rPr>
        <w:t>Miroslav ŠRÁMEK</w:t>
      </w:r>
      <w:r>
        <w:rPr>
          <w:rFonts w:ascii="Garamond" w:hAnsi="Garamond"/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rFonts w:ascii="Garamond" w:hAnsi="Garamond"/>
          <w:b/>
        </w:rPr>
        <w:t>Dukelských hrdinů 345</w:t>
      </w:r>
      <w:r>
        <w:tab/>
        <w:t xml:space="preserve">                                                                                                    </w:t>
      </w:r>
      <w:r>
        <w:rPr>
          <w:rFonts w:ascii="Garamond" w:hAnsi="Garamond"/>
        </w:rPr>
        <w:t xml:space="preserve">   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      </w:t>
      </w:r>
      <w:r>
        <w:rPr>
          <w:rFonts w:ascii="Garamond" w:hAnsi="Garamond"/>
          <w:b/>
        </w:rPr>
        <w:t>Lanškroun</w:t>
      </w:r>
    </w:p>
    <w:p w:rsidR="00370D0C" w:rsidRDefault="00370D0C" w:rsidP="00370D0C">
      <w:pPr>
        <w:rPr>
          <w:rFonts w:ascii="Garamond" w:hAnsi="Garamond"/>
          <w:b/>
        </w:rPr>
      </w:pPr>
      <w:r>
        <w:rPr>
          <w:b/>
        </w:rPr>
        <w:t xml:space="preserve">                                                                                                   </w:t>
      </w:r>
      <w:r>
        <w:rPr>
          <w:rFonts w:ascii="Garamond" w:hAnsi="Garamond"/>
          <w:b/>
        </w:rPr>
        <w:t>IČO: 18841716</w:t>
      </w:r>
    </w:p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Pr="007B019E" w:rsidRDefault="00370D0C" w:rsidP="00370D0C">
      <w:pPr>
        <w:pStyle w:val="Zkladntext"/>
        <w:ind w:firstLine="708"/>
        <w:jc w:val="both"/>
        <w:rPr>
          <w:rFonts w:ascii="Garamond" w:hAnsi="Garamond"/>
        </w:rPr>
      </w:pPr>
    </w:p>
    <w:p w:rsidR="00370D0C" w:rsidRPr="007B019E" w:rsidRDefault="00370D0C" w:rsidP="00370D0C">
      <w:pPr>
        <w:pStyle w:val="Zkladntext"/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 xml:space="preserve">Projektová dokumentace řeší vytápění objektu dle požadavku investora v souladu s ČSN. Tepelné ztráty byly vypočítány pro klimatickou oblast Brno, pro nadmořskou výšku 237 m n. </w:t>
      </w:r>
      <w:proofErr w:type="gramStart"/>
      <w:r w:rsidRPr="007B019E">
        <w:rPr>
          <w:rFonts w:ascii="Garamond" w:hAnsi="Garamond"/>
        </w:rPr>
        <w:t>m.,  s výpočtovou</w:t>
      </w:r>
      <w:proofErr w:type="gramEnd"/>
      <w:r w:rsidRPr="007B019E">
        <w:rPr>
          <w:rFonts w:ascii="Garamond" w:hAnsi="Garamond"/>
        </w:rPr>
        <w:t xml:space="preserve"> venkovní teplotou – 12°C, pro samostatně stojící budovu, poloha budovy v krajině nechráněná, charakteristické číslo budovy 9. </w:t>
      </w:r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</w:r>
    </w:p>
    <w:p w:rsidR="00370D0C" w:rsidRPr="007B019E" w:rsidRDefault="00370D0C" w:rsidP="00370D0C">
      <w:pPr>
        <w:jc w:val="both"/>
        <w:rPr>
          <w:rFonts w:ascii="Garamond" w:hAnsi="Garamond"/>
        </w:rPr>
      </w:pPr>
      <w:proofErr w:type="gramStart"/>
      <w:r w:rsidRPr="007B019E">
        <w:rPr>
          <w:rFonts w:ascii="Garamond" w:hAnsi="Garamond"/>
        </w:rPr>
        <w:t>Jako</w:t>
      </w:r>
      <w:r w:rsidRPr="007B019E">
        <w:rPr>
          <w:rFonts w:ascii="Garamond" w:hAnsi="Garamond"/>
          <w:b/>
        </w:rPr>
        <w:t xml:space="preserve"> </w:t>
      </w:r>
      <w:r w:rsidRPr="007B019E">
        <w:rPr>
          <w:rFonts w:ascii="Garamond" w:hAnsi="Garamond"/>
        </w:rPr>
        <w:t xml:space="preserve"> tepelný</w:t>
      </w:r>
      <w:proofErr w:type="gramEnd"/>
      <w:r w:rsidRPr="007B019E">
        <w:rPr>
          <w:rFonts w:ascii="Garamond" w:hAnsi="Garamond"/>
        </w:rPr>
        <w:t xml:space="preserve"> zdroj je navržen závěsný kondenzační kotel GB 192-35i, o výkonu 5,4 - 35 kW.</w:t>
      </w:r>
    </w:p>
    <w:p w:rsidR="00370D0C" w:rsidRPr="007B019E" w:rsidRDefault="00370D0C" w:rsidP="00370D0C">
      <w:pPr>
        <w:jc w:val="both"/>
        <w:rPr>
          <w:rFonts w:ascii="Garamond" w:hAnsi="Garamond"/>
          <w:i/>
        </w:rPr>
      </w:pPr>
      <w:r w:rsidRPr="007B019E">
        <w:rPr>
          <w:rFonts w:ascii="Garamond" w:hAnsi="Garamond"/>
          <w:i/>
        </w:rPr>
        <w:t xml:space="preserve">(možná alternativa je závěsný kondenzační kotel VU 306/5-5 </w:t>
      </w:r>
      <w:proofErr w:type="spellStart"/>
      <w:r w:rsidRPr="007B019E">
        <w:rPr>
          <w:rFonts w:ascii="Garamond" w:hAnsi="Garamond"/>
          <w:i/>
        </w:rPr>
        <w:t>ecoTEC</w:t>
      </w:r>
      <w:proofErr w:type="spellEnd"/>
      <w:r w:rsidRPr="007B019E">
        <w:rPr>
          <w:rFonts w:ascii="Garamond" w:hAnsi="Garamond"/>
          <w:i/>
        </w:rPr>
        <w:t xml:space="preserve"> plus) </w:t>
      </w:r>
    </w:p>
    <w:p w:rsidR="00370D0C" w:rsidRPr="007B019E" w:rsidRDefault="00370D0C" w:rsidP="00370D0C">
      <w:pPr>
        <w:jc w:val="both"/>
        <w:rPr>
          <w:rFonts w:ascii="Garamond" w:hAnsi="Garamond"/>
        </w:rPr>
      </w:pPr>
    </w:p>
    <w:p w:rsidR="00370D0C" w:rsidRPr="007B019E" w:rsidRDefault="00370D0C" w:rsidP="00370D0C">
      <w:pPr>
        <w:jc w:val="both"/>
        <w:rPr>
          <w:rFonts w:ascii="Garamond" w:hAnsi="Garamond"/>
        </w:rPr>
      </w:pPr>
      <w:r w:rsidRPr="007B019E">
        <w:rPr>
          <w:rFonts w:ascii="Garamond" w:hAnsi="Garamond"/>
        </w:rPr>
        <w:tab/>
        <w:t xml:space="preserve">Kotel úspěšně využívá tepelného zisku nejen z výhřevnosti zemního plynu, ale zvlášť ze spalného tepla, které obsahuje jako přídavný energetický podíl teplo získané z kondenzace vodních par ve spalinách. </w:t>
      </w:r>
    </w:p>
    <w:p w:rsidR="00370D0C" w:rsidRPr="007B019E" w:rsidRDefault="00370D0C" w:rsidP="00370D0C">
      <w:pPr>
        <w:pStyle w:val="Default"/>
        <w:rPr>
          <w:rFonts w:ascii="Garamond" w:hAnsi="Garamond"/>
        </w:rPr>
      </w:pPr>
    </w:p>
    <w:p w:rsidR="00370D0C" w:rsidRPr="007B019E" w:rsidRDefault="00370D0C" w:rsidP="00370D0C">
      <w:pPr>
        <w:pStyle w:val="Default"/>
        <w:rPr>
          <w:rFonts w:ascii="Garamond" w:hAnsi="Garamond"/>
        </w:rPr>
      </w:pPr>
      <w:r w:rsidRPr="007B019E">
        <w:rPr>
          <w:rFonts w:ascii="Garamond" w:hAnsi="Garamond"/>
        </w:rPr>
        <w:tab/>
        <w:t xml:space="preserve">Ohřev teplé vody, bude zajištěn elektrickými zásobníky, elektrická energie, bude pokrytá z velké části </w:t>
      </w:r>
      <w:proofErr w:type="spellStart"/>
      <w:r w:rsidRPr="007B019E">
        <w:rPr>
          <w:rFonts w:ascii="Garamond" w:hAnsi="Garamond"/>
        </w:rPr>
        <w:t>fotovoltaickými</w:t>
      </w:r>
      <w:proofErr w:type="spellEnd"/>
      <w:r w:rsidRPr="007B019E">
        <w:rPr>
          <w:rFonts w:ascii="Garamond" w:hAnsi="Garamond"/>
        </w:rPr>
        <w:t xml:space="preserve"> panely. Zásobníky budou umístěny v místnosti pro úklid (prádelně). </w:t>
      </w:r>
    </w:p>
    <w:p w:rsidR="00370D0C" w:rsidRPr="007B019E" w:rsidRDefault="00370D0C" w:rsidP="00370D0C">
      <w:pPr>
        <w:jc w:val="both"/>
        <w:rPr>
          <w:rFonts w:ascii="Garamond" w:hAnsi="Garamond"/>
          <w:b/>
        </w:rPr>
      </w:pPr>
    </w:p>
    <w:p w:rsidR="00370D0C" w:rsidRPr="007B019E" w:rsidRDefault="00370D0C" w:rsidP="00370D0C">
      <w:pPr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>Vytápění objektu bude zajištěno kondenzačním kotlem GB 192-35i, který bude umístěn v 2. NP v technické místnosti č. 209. Systém bude rozdělen na samostatné podlahové vytápění 1. NP a samostatné vytápění otopnými deskovými tělesy v 2. NP. Oběh otopné vody v jednotlivých podlažích bude zajištěn čerpadlovými skupinami, pro každé podlaží zvlášť. Oběh otopné vody v kotlovém okruhu zajišťuje kotlové čerpadlo. Pojištění systému bude zabezpečeno v souladu s ČSN 06 0830 pomocí tlakové expanzní nádoby s membránou o velikosti 50 l. Kotel je osazen pojistným ventilem s provozním tlakem 3 bary, otevírací přetlak bude nastaven na 2,5 bary</w:t>
      </w:r>
    </w:p>
    <w:p w:rsidR="00370D0C" w:rsidRPr="007B019E" w:rsidRDefault="00370D0C" w:rsidP="00370D0C">
      <w:pPr>
        <w:jc w:val="both"/>
        <w:rPr>
          <w:rFonts w:ascii="Garamond" w:hAnsi="Garamond"/>
          <w:b/>
        </w:rPr>
      </w:pPr>
    </w:p>
    <w:p w:rsidR="00370D0C" w:rsidRPr="007B019E" w:rsidRDefault="00370D0C" w:rsidP="00370D0C">
      <w:pPr>
        <w:jc w:val="both"/>
        <w:rPr>
          <w:rFonts w:ascii="Garamond" w:hAnsi="Garamond"/>
          <w:b/>
        </w:rPr>
      </w:pPr>
      <w:r w:rsidRPr="007B019E">
        <w:rPr>
          <w:rFonts w:ascii="Garamond" w:hAnsi="Garamond"/>
          <w:b/>
        </w:rPr>
        <w:t>Vytápění 1. NP:</w:t>
      </w:r>
    </w:p>
    <w:p w:rsidR="00370D0C" w:rsidRPr="007B019E" w:rsidRDefault="00370D0C" w:rsidP="00370D0C">
      <w:pPr>
        <w:pStyle w:val="Zkladntext"/>
        <w:ind w:firstLine="708"/>
        <w:jc w:val="both"/>
        <w:rPr>
          <w:rFonts w:ascii="Garamond" w:hAnsi="Garamond"/>
        </w:rPr>
      </w:pPr>
    </w:p>
    <w:p w:rsidR="00370D0C" w:rsidRDefault="00370D0C" w:rsidP="00370D0C">
      <w:pPr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 xml:space="preserve">Vytápění podlaží bude řešeno teplovodním </w:t>
      </w:r>
      <w:r w:rsidRPr="000117BA">
        <w:rPr>
          <w:rFonts w:ascii="Garamond" w:hAnsi="Garamond"/>
          <w:b/>
        </w:rPr>
        <w:t>podlahovým vytápěním</w:t>
      </w:r>
      <w:r w:rsidRPr="007B019E">
        <w:rPr>
          <w:rFonts w:ascii="Garamond" w:hAnsi="Garamond"/>
        </w:rPr>
        <w:t xml:space="preserve"> o teplotě přívodní vody 43°C. V umývárnách budou</w:t>
      </w:r>
      <w:r>
        <w:rPr>
          <w:rFonts w:ascii="Garamond" w:hAnsi="Garamond"/>
        </w:rPr>
        <w:t xml:space="preserve">, </w:t>
      </w:r>
      <w:proofErr w:type="gramStart"/>
      <w:r>
        <w:rPr>
          <w:rFonts w:ascii="Garamond" w:hAnsi="Garamond"/>
        </w:rPr>
        <w:t xml:space="preserve">navíc, </w:t>
      </w:r>
      <w:r w:rsidRPr="007B019E">
        <w:rPr>
          <w:rFonts w:ascii="Garamond" w:hAnsi="Garamond"/>
        </w:rPr>
        <w:t xml:space="preserve"> umístěna</w:t>
      </w:r>
      <w:proofErr w:type="gramEnd"/>
      <w:r w:rsidRPr="007B019E">
        <w:rPr>
          <w:rFonts w:ascii="Garamond" w:hAnsi="Garamond"/>
        </w:rPr>
        <w:t xml:space="preserve"> trubková otopná tělesa</w:t>
      </w:r>
      <w:r>
        <w:rPr>
          <w:rFonts w:ascii="Garamond" w:hAnsi="Garamond"/>
        </w:rPr>
        <w:t xml:space="preserve"> KLXM, se středovým připojením</w:t>
      </w:r>
      <w:r w:rsidRPr="007B019E">
        <w:rPr>
          <w:rFonts w:ascii="Garamond" w:hAnsi="Garamond"/>
        </w:rPr>
        <w:t xml:space="preserve">, která budou vybavena elektrickými topnými tělesy, pro možnost vytápění v přechodném období. Podlahové vytápění, bude zhotoveno systémem s  topnými trubkami 18x2 mm, která jsou opatřeny kyslíkovou bariérou, s roztečí 100 a 150 mm.  Potrubí bude přichyceno pomocí kotvících spon na systémových pásech, s nalepenou reflexní folií. Folie je odolná proti vniknutí vlhkosti do potěru. Fólie je nalepená na polystyrénovou izolaci </w:t>
      </w:r>
      <w:proofErr w:type="spellStart"/>
      <w:r w:rsidRPr="007B019E">
        <w:rPr>
          <w:rFonts w:ascii="Garamond" w:hAnsi="Garamond"/>
        </w:rPr>
        <w:t>tl</w:t>
      </w:r>
      <w:proofErr w:type="spellEnd"/>
      <w:r w:rsidRPr="007B019E">
        <w:rPr>
          <w:rFonts w:ascii="Garamond" w:hAnsi="Garamond"/>
        </w:rPr>
        <w:t xml:space="preserve">. 30 mm. Polystyren v sobě integruje jak tepelnou tak </w:t>
      </w:r>
      <w:proofErr w:type="spellStart"/>
      <w:r w:rsidRPr="007B019E">
        <w:rPr>
          <w:rFonts w:ascii="Garamond" w:hAnsi="Garamond"/>
        </w:rPr>
        <w:t>kročejovou</w:t>
      </w:r>
      <w:proofErr w:type="spellEnd"/>
      <w:r w:rsidRPr="007B019E">
        <w:rPr>
          <w:rFonts w:ascii="Garamond" w:hAnsi="Garamond"/>
        </w:rPr>
        <w:t xml:space="preserve"> izolaci. Zatížení do 400 kg/m2. </w:t>
      </w:r>
    </w:p>
    <w:p w:rsidR="00370D0C" w:rsidRDefault="00370D0C" w:rsidP="00370D0C">
      <w:pPr>
        <w:ind w:firstLine="708"/>
        <w:jc w:val="both"/>
        <w:rPr>
          <w:rFonts w:ascii="Garamond" w:hAnsi="Garamond"/>
        </w:rPr>
      </w:pPr>
    </w:p>
    <w:p w:rsidR="00370D0C" w:rsidRPr="007B019E" w:rsidRDefault="00370D0C" w:rsidP="00370D0C">
      <w:pPr>
        <w:pStyle w:val="Zkladntext"/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>Rozdělení jednotlivých otopných smyček bude zajištěno pomocí rozdělovacích stanic, umístěných v ocelových skříních, instalovaných do zdi. Připojení rozdělovačů bude zajištěno pomocí tepelně izolovaných měděných trubek.</w:t>
      </w:r>
    </w:p>
    <w:p w:rsidR="00370D0C" w:rsidRPr="007B019E" w:rsidRDefault="00370D0C" w:rsidP="00370D0C">
      <w:pPr>
        <w:tabs>
          <w:tab w:val="left" w:pos="7560"/>
        </w:tabs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>Připojení trubkových těles k</w:t>
      </w:r>
      <w:r>
        <w:rPr>
          <w:rFonts w:ascii="Garamond" w:hAnsi="Garamond"/>
        </w:rPr>
        <w:t> rozdělovací stanici,</w:t>
      </w:r>
      <w:r w:rsidRPr="007B019E">
        <w:rPr>
          <w:rFonts w:ascii="Garamond" w:hAnsi="Garamond"/>
        </w:rPr>
        <w:t xml:space="preserve"> bude zajištěno pomocí </w:t>
      </w:r>
      <w:r>
        <w:rPr>
          <w:rFonts w:ascii="Garamond" w:hAnsi="Garamond"/>
        </w:rPr>
        <w:t xml:space="preserve">průběhové garnitury, </w:t>
      </w:r>
      <w:r w:rsidRPr="000117BA">
        <w:rPr>
          <w:rFonts w:ascii="Garamond" w:hAnsi="Garamond"/>
          <w:b/>
        </w:rPr>
        <w:t>tepelně izolované plastové trubky 18x2</w:t>
      </w:r>
      <w:r>
        <w:rPr>
          <w:rFonts w:ascii="Garamond" w:hAnsi="Garamond"/>
        </w:rPr>
        <w:t xml:space="preserve">  a </w:t>
      </w:r>
      <w:r w:rsidRPr="007B019E">
        <w:rPr>
          <w:rFonts w:ascii="Garamond" w:hAnsi="Garamond"/>
        </w:rPr>
        <w:t>připojovací armatury HM. Otopná tělesa budou umístěna min. 11 cm nad podlahou.</w:t>
      </w:r>
    </w:p>
    <w:p w:rsidR="00370D0C" w:rsidRPr="007B019E" w:rsidRDefault="00370D0C" w:rsidP="00370D0C">
      <w:pPr>
        <w:jc w:val="both"/>
        <w:rPr>
          <w:rFonts w:ascii="Garamond" w:hAnsi="Garamond"/>
        </w:rPr>
      </w:pPr>
      <w:r w:rsidRPr="007B019E">
        <w:rPr>
          <w:rFonts w:ascii="Garamond" w:hAnsi="Garamond"/>
        </w:rPr>
        <w:tab/>
      </w:r>
    </w:p>
    <w:p w:rsidR="00370D0C" w:rsidRPr="007B019E" w:rsidRDefault="00370D0C" w:rsidP="00370D0C">
      <w:pPr>
        <w:pStyle w:val="Zkladntext"/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 xml:space="preserve">Systém podlahového vytápění, provádění montáže a zalévání podlahového vytápění se řídí pokyny dodavatelské firmy. Upozorňuji na nutnost dodržení skladby podlah, instalaci dilatačních pásů a dodržení začátku zahřívání topné desky, dle použité zalévací směsi. K prvnímu ohřevu cementového potěru by mělo dojít nejdříve min. 21 dní po jeho dokončení. První zahřátí probíhá zpočátku při teplotě náběhové vody cca 25°C. Další zvýšení teploty přívodu se provádí každý den vždy o cca 5°C. </w:t>
      </w:r>
    </w:p>
    <w:p w:rsidR="00370D0C" w:rsidRPr="007B019E" w:rsidRDefault="00370D0C" w:rsidP="00370D0C">
      <w:pPr>
        <w:pStyle w:val="Zkladntext"/>
        <w:ind w:firstLine="708"/>
        <w:jc w:val="both"/>
        <w:rPr>
          <w:rFonts w:ascii="Garamond" w:hAnsi="Garamond"/>
        </w:rPr>
      </w:pPr>
      <w:r>
        <w:rPr>
          <w:rFonts w:ascii="Garamond" w:hAnsi="Garamond"/>
        </w:rPr>
        <w:t>Přívodní potrubí, bude</w:t>
      </w:r>
      <w:r w:rsidRPr="007B019E">
        <w:rPr>
          <w:rFonts w:ascii="Garamond" w:hAnsi="Garamond"/>
        </w:rPr>
        <w:t xml:space="preserve"> opatřen</w:t>
      </w:r>
      <w:r>
        <w:rPr>
          <w:rFonts w:ascii="Garamond" w:hAnsi="Garamond"/>
        </w:rPr>
        <w:t>o</w:t>
      </w:r>
      <w:r w:rsidRPr="007B019E">
        <w:rPr>
          <w:rFonts w:ascii="Garamond" w:hAnsi="Garamond"/>
        </w:rPr>
        <w:t xml:space="preserve"> bezpečnostním termostatem podlahového vytápění, který přeruší dodávku otopné vody, při překročení nastavené teploty. </w:t>
      </w:r>
    </w:p>
    <w:p w:rsidR="00370D0C" w:rsidRPr="007B019E" w:rsidRDefault="00370D0C" w:rsidP="00370D0C">
      <w:pPr>
        <w:ind w:firstLine="708"/>
        <w:jc w:val="both"/>
        <w:rPr>
          <w:rFonts w:ascii="Garamond" w:hAnsi="Garamond"/>
          <w:b/>
        </w:rPr>
      </w:pPr>
    </w:p>
    <w:p w:rsidR="00370D0C" w:rsidRPr="007B019E" w:rsidRDefault="00370D0C" w:rsidP="00370D0C">
      <w:pPr>
        <w:ind w:firstLine="708"/>
        <w:jc w:val="both"/>
        <w:rPr>
          <w:rFonts w:ascii="Garamond" w:hAnsi="Garamond"/>
          <w:b/>
        </w:rPr>
      </w:pPr>
      <w:r w:rsidRPr="007B019E">
        <w:rPr>
          <w:rFonts w:ascii="Garamond" w:hAnsi="Garamond"/>
          <w:b/>
        </w:rPr>
        <w:t>Vytápění 2. NP:</w:t>
      </w:r>
    </w:p>
    <w:p w:rsidR="00370D0C" w:rsidRPr="007B019E" w:rsidRDefault="00370D0C" w:rsidP="00370D0C">
      <w:pPr>
        <w:ind w:firstLine="708"/>
        <w:jc w:val="both"/>
        <w:rPr>
          <w:rFonts w:ascii="Garamond" w:hAnsi="Garamond"/>
          <w:b/>
        </w:rPr>
      </w:pPr>
    </w:p>
    <w:p w:rsidR="00370D0C" w:rsidRPr="007B019E" w:rsidRDefault="00370D0C" w:rsidP="00370D0C">
      <w:pPr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>Vytápění podlaží je navrženo</w:t>
      </w:r>
      <w:r>
        <w:rPr>
          <w:rFonts w:ascii="Garamond" w:hAnsi="Garamond"/>
        </w:rPr>
        <w:t xml:space="preserve">, pomocí otopných </w:t>
      </w:r>
      <w:proofErr w:type="gramStart"/>
      <w:r>
        <w:rPr>
          <w:rFonts w:ascii="Garamond" w:hAnsi="Garamond"/>
        </w:rPr>
        <w:t xml:space="preserve">těles, </w:t>
      </w:r>
      <w:r w:rsidRPr="007B019E">
        <w:rPr>
          <w:rFonts w:ascii="Garamond" w:hAnsi="Garamond"/>
        </w:rPr>
        <w:t xml:space="preserve"> jako</w:t>
      </w:r>
      <w:proofErr w:type="gramEnd"/>
      <w:r w:rsidRPr="007B019E">
        <w:rPr>
          <w:rFonts w:ascii="Garamond" w:hAnsi="Garamond"/>
        </w:rPr>
        <w:t xml:space="preserve"> teplovodní </w:t>
      </w:r>
      <w:proofErr w:type="spellStart"/>
      <w:r w:rsidRPr="007B019E">
        <w:rPr>
          <w:rFonts w:ascii="Garamond" w:hAnsi="Garamond"/>
        </w:rPr>
        <w:t>dvoutrubkové</w:t>
      </w:r>
      <w:proofErr w:type="spellEnd"/>
      <w:r w:rsidRPr="007B019E">
        <w:rPr>
          <w:rFonts w:ascii="Garamond" w:hAnsi="Garamond"/>
        </w:rPr>
        <w:t xml:space="preserve"> s nuceným oběhem vody o tepelném spádu 75/65°C. Rozvodné potrubí z měděných trubek, které bude tepelně izolováno </w:t>
      </w:r>
      <w:proofErr w:type="spellStart"/>
      <w:r w:rsidRPr="007B019E">
        <w:rPr>
          <w:rFonts w:ascii="Garamond" w:hAnsi="Garamond"/>
        </w:rPr>
        <w:t>návlekovou</w:t>
      </w:r>
      <w:proofErr w:type="spellEnd"/>
      <w:r w:rsidRPr="007B019E">
        <w:rPr>
          <w:rFonts w:ascii="Garamond" w:hAnsi="Garamond"/>
        </w:rPr>
        <w:t xml:space="preserve"> izolací </w:t>
      </w:r>
      <w:proofErr w:type="spellStart"/>
      <w:r w:rsidRPr="007B019E">
        <w:rPr>
          <w:rFonts w:ascii="Garamond" w:hAnsi="Garamond"/>
        </w:rPr>
        <w:t>Tubex</w:t>
      </w:r>
      <w:proofErr w:type="spellEnd"/>
      <w:r w:rsidRPr="007B019E">
        <w:rPr>
          <w:rFonts w:ascii="Garamond" w:hAnsi="Garamond"/>
        </w:rPr>
        <w:t xml:space="preserve"> o </w:t>
      </w:r>
      <w:proofErr w:type="spellStart"/>
      <w:r w:rsidRPr="007B019E">
        <w:rPr>
          <w:rFonts w:ascii="Garamond" w:hAnsi="Garamond"/>
        </w:rPr>
        <w:t>tl</w:t>
      </w:r>
      <w:proofErr w:type="spellEnd"/>
      <w:r w:rsidRPr="007B019E">
        <w:rPr>
          <w:rFonts w:ascii="Garamond" w:hAnsi="Garamond"/>
        </w:rPr>
        <w:t xml:space="preserve">. 20 mm, bude vedeno v kanálku podlahy. Tloušťku tepelné izolace je nutné dodržet z důvodu délkových změn, které jsou podmíněny teplotami otopné vody. Potrubí nesmí být zabetonováno napevno, především v oblasti kompenzátorů, T-kusů a oblouků je nutné provést řádnou izolaci, protože zde dochází k dilatačnímu vykompenzování. Vzhledem k předpokládané roztažnosti potrubní sítě bude rozvod z mědi opatřen </w:t>
      </w:r>
      <w:r w:rsidRPr="007B019E">
        <w:rPr>
          <w:rFonts w:ascii="Garamond" w:hAnsi="Garamond"/>
          <w:b/>
        </w:rPr>
        <w:t>U kompenzátor</w:t>
      </w:r>
      <w:r>
        <w:rPr>
          <w:rFonts w:ascii="Garamond" w:hAnsi="Garamond"/>
          <w:b/>
        </w:rPr>
        <w:t xml:space="preserve">em </w:t>
      </w:r>
      <w:r w:rsidRPr="007B019E">
        <w:rPr>
          <w:rFonts w:ascii="Garamond" w:hAnsi="Garamond"/>
          <w:b/>
        </w:rPr>
        <w:t xml:space="preserve">s pevným bodem, </w:t>
      </w:r>
      <w:r w:rsidRPr="007B019E">
        <w:rPr>
          <w:rFonts w:ascii="Garamond" w:hAnsi="Garamond"/>
        </w:rPr>
        <w:t xml:space="preserve">který zajistí zachytávání axiálních pohybů.  Na vratném potrubí, před kotlem, bude umístěn magnetický odlučovač s kulovými kohouty. Oběh otopné vody zajišťuje oběhové čerpadlo, které je součástí kotle. </w:t>
      </w:r>
    </w:p>
    <w:p w:rsidR="00370D0C" w:rsidRPr="007B019E" w:rsidRDefault="00370D0C" w:rsidP="00370D0C">
      <w:pPr>
        <w:tabs>
          <w:tab w:val="left" w:pos="7560"/>
        </w:tabs>
        <w:ind w:firstLine="708"/>
        <w:jc w:val="both"/>
        <w:rPr>
          <w:rFonts w:ascii="Garamond" w:hAnsi="Garamond"/>
        </w:rPr>
      </w:pPr>
    </w:p>
    <w:p w:rsidR="00370D0C" w:rsidRPr="007B019E" w:rsidRDefault="00370D0C" w:rsidP="00370D0C">
      <w:pPr>
        <w:tabs>
          <w:tab w:val="left" w:pos="7560"/>
        </w:tabs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 xml:space="preserve">  Otopnou plochu tvoří otopná desková tělesa Ventil Kompakt, o výšce 600 mm, která budou osazena ventily s termostatickými hlavicemi, v místnosti s prostorovým termostatem, ruční hlavicí.  Připojení rozvodného potrubí bude zajištěno pomocí rohového regulačního a uzavíracího šroubení, s možností vypouštění, se svorným šroubením pro napojení měděných trubek. V umývárnách budou umístěna otopná trubková tělesa KLXM se středovým připojením, která budou vybavena elektrickým topným tělesem, pro možnost vytápění v přechodném období. Připojení trubkových těles k rozvodnému potrubí bude zajištěno pomocí připojovací armatury HM. Otopná tělesa budou umístěna min. 11 cm nad podlahou.</w:t>
      </w:r>
    </w:p>
    <w:p w:rsidR="00370D0C" w:rsidRPr="007B019E" w:rsidRDefault="00370D0C" w:rsidP="00370D0C">
      <w:pPr>
        <w:jc w:val="both"/>
        <w:rPr>
          <w:rFonts w:ascii="Garamond" w:hAnsi="Garamond"/>
        </w:rPr>
      </w:pPr>
      <w:r w:rsidRPr="007B019E">
        <w:rPr>
          <w:rFonts w:ascii="Garamond" w:hAnsi="Garamond"/>
        </w:rPr>
        <w:tab/>
      </w:r>
    </w:p>
    <w:p w:rsidR="00370D0C" w:rsidRPr="007B019E" w:rsidRDefault="00370D0C" w:rsidP="00370D0C">
      <w:pPr>
        <w:spacing w:before="100" w:beforeAutospacing="1" w:after="100" w:afterAutospacing="1"/>
        <w:rPr>
          <w:rFonts w:ascii="Garamond" w:hAnsi="Garamond"/>
        </w:rPr>
      </w:pPr>
      <w:r w:rsidRPr="007B019E">
        <w:rPr>
          <w:rFonts w:ascii="Garamond" w:hAnsi="Garamond"/>
        </w:rPr>
        <w:t>„</w:t>
      </w:r>
      <w:r w:rsidRPr="007B019E">
        <w:rPr>
          <w:rFonts w:ascii="Garamond" w:hAnsi="Garamond"/>
          <w:color w:val="0070C0"/>
        </w:rPr>
        <w:t>V souladu se zákonem, o zadávání veřejných zakázek jsou typy výrobků a materiálů uvedené v projektové dokumentaci, pouze zadáním standardu kvality pro daný účel použití. V souladu s tímto zákonem je možné použít i jiný výrobek stejných vlastností.“</w:t>
      </w:r>
      <w:r w:rsidRPr="007B019E">
        <w:rPr>
          <w:rFonts w:ascii="Garamond" w:hAnsi="Garamond"/>
        </w:rPr>
        <w:t xml:space="preserve"> </w:t>
      </w:r>
    </w:p>
    <w:p w:rsidR="00370D0C" w:rsidRPr="007B019E" w:rsidRDefault="00370D0C" w:rsidP="00370D0C">
      <w:pPr>
        <w:spacing w:before="100" w:beforeAutospacing="1" w:after="100" w:afterAutospacing="1"/>
        <w:rPr>
          <w:rFonts w:ascii="Garamond" w:hAnsi="Garamond"/>
        </w:rPr>
      </w:pPr>
      <w:r w:rsidRPr="007B019E">
        <w:rPr>
          <w:rFonts w:ascii="Garamond" w:hAnsi="Garamond"/>
        </w:rPr>
        <w:t> </w:t>
      </w:r>
    </w:p>
    <w:p w:rsidR="00370D0C" w:rsidRPr="007B019E" w:rsidRDefault="00370D0C" w:rsidP="00370D0C">
      <w:pPr>
        <w:jc w:val="both"/>
        <w:rPr>
          <w:rFonts w:ascii="Garamond" w:hAnsi="Garamond"/>
        </w:rPr>
      </w:pPr>
    </w:p>
    <w:p w:rsidR="00370D0C" w:rsidRPr="007B019E" w:rsidRDefault="00370D0C" w:rsidP="00370D0C">
      <w:pPr>
        <w:jc w:val="both"/>
        <w:rPr>
          <w:rFonts w:ascii="Garamond" w:hAnsi="Garamond"/>
        </w:rPr>
      </w:pPr>
    </w:p>
    <w:p w:rsidR="00370D0C" w:rsidRPr="007B019E" w:rsidRDefault="00370D0C" w:rsidP="00370D0C">
      <w:pPr>
        <w:jc w:val="both"/>
        <w:rPr>
          <w:rFonts w:ascii="Garamond" w:hAnsi="Garamond"/>
        </w:rPr>
      </w:pPr>
      <w:r w:rsidRPr="007B019E">
        <w:rPr>
          <w:rFonts w:ascii="Garamond" w:hAnsi="Garamond"/>
        </w:rPr>
        <w:t xml:space="preserve">Seznam výkresů:            </w:t>
      </w:r>
      <w:r w:rsidRPr="007B019E">
        <w:rPr>
          <w:rFonts w:ascii="Garamond" w:hAnsi="Garamond"/>
        </w:rPr>
        <w:tab/>
      </w:r>
      <w:proofErr w:type="gramStart"/>
      <w:r w:rsidRPr="007B019E">
        <w:rPr>
          <w:rFonts w:ascii="Garamond" w:hAnsi="Garamond"/>
        </w:rPr>
        <w:t>D1.4. 3 - 01</w:t>
      </w:r>
      <w:proofErr w:type="gramEnd"/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  <w:t>Technická zpráva</w:t>
      </w:r>
    </w:p>
    <w:p w:rsidR="00370D0C" w:rsidRPr="007B019E" w:rsidRDefault="00370D0C" w:rsidP="00370D0C">
      <w:pPr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</w:r>
      <w:proofErr w:type="gramStart"/>
      <w:r w:rsidRPr="007B019E">
        <w:rPr>
          <w:rFonts w:ascii="Garamond" w:hAnsi="Garamond"/>
        </w:rPr>
        <w:t>D1.4. 3 - 02</w:t>
      </w:r>
      <w:proofErr w:type="gramEnd"/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  <w:t>Půdorys 1. NP</w:t>
      </w:r>
    </w:p>
    <w:p w:rsidR="00370D0C" w:rsidRPr="007B019E" w:rsidRDefault="00370D0C" w:rsidP="00370D0C">
      <w:pPr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</w:r>
      <w:proofErr w:type="gramStart"/>
      <w:r w:rsidRPr="007B019E">
        <w:rPr>
          <w:rFonts w:ascii="Garamond" w:hAnsi="Garamond"/>
        </w:rPr>
        <w:t>D1.4. 3 - 03</w:t>
      </w:r>
      <w:proofErr w:type="gramEnd"/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  <w:t>Půdorys 2. NP</w:t>
      </w:r>
    </w:p>
    <w:p w:rsidR="00370D0C" w:rsidRPr="007B019E" w:rsidRDefault="00370D0C" w:rsidP="00370D0C">
      <w:pPr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</w:r>
      <w:proofErr w:type="gramStart"/>
      <w:r w:rsidRPr="007B019E">
        <w:rPr>
          <w:rFonts w:ascii="Garamond" w:hAnsi="Garamond"/>
        </w:rPr>
        <w:t>D1.4. 3 – 04</w:t>
      </w:r>
      <w:proofErr w:type="gramEnd"/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</w:r>
      <w:proofErr w:type="spellStart"/>
      <w:r w:rsidRPr="007B019E">
        <w:rPr>
          <w:rFonts w:ascii="Garamond" w:hAnsi="Garamond"/>
        </w:rPr>
        <w:t>Schema</w:t>
      </w:r>
      <w:proofErr w:type="spellEnd"/>
      <w:r w:rsidRPr="007B019E">
        <w:rPr>
          <w:rFonts w:ascii="Garamond" w:hAnsi="Garamond"/>
        </w:rPr>
        <w:t xml:space="preserve"> zapojení</w:t>
      </w:r>
    </w:p>
    <w:p w:rsidR="00370D0C" w:rsidRPr="007B019E" w:rsidRDefault="00370D0C" w:rsidP="00370D0C">
      <w:pPr>
        <w:ind w:firstLine="708"/>
        <w:jc w:val="both"/>
        <w:rPr>
          <w:rFonts w:ascii="Garamond" w:hAnsi="Garamond"/>
        </w:rPr>
      </w:pPr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</w:r>
      <w:proofErr w:type="gramStart"/>
      <w:r w:rsidRPr="007B019E">
        <w:rPr>
          <w:rFonts w:ascii="Garamond" w:hAnsi="Garamond"/>
        </w:rPr>
        <w:t>D1.4. 3 – 05</w:t>
      </w:r>
      <w:proofErr w:type="gramEnd"/>
      <w:r w:rsidRPr="007B019E">
        <w:rPr>
          <w:rFonts w:ascii="Garamond" w:hAnsi="Garamond"/>
        </w:rPr>
        <w:tab/>
      </w:r>
      <w:r w:rsidRPr="007B019E">
        <w:rPr>
          <w:rFonts w:ascii="Garamond" w:hAnsi="Garamond"/>
        </w:rPr>
        <w:tab/>
        <w:t>Specifikace topných smyček</w:t>
      </w:r>
    </w:p>
    <w:p w:rsidR="00370D0C" w:rsidRPr="007B019E" w:rsidRDefault="00370D0C" w:rsidP="00370D0C">
      <w:pPr>
        <w:ind w:firstLine="708"/>
        <w:jc w:val="both"/>
        <w:rPr>
          <w:rFonts w:ascii="Garamond" w:hAnsi="Garamond"/>
        </w:rPr>
      </w:pPr>
    </w:p>
    <w:p w:rsidR="00370D0C" w:rsidRPr="007B019E" w:rsidRDefault="00370D0C" w:rsidP="00370D0C">
      <w:pPr>
        <w:ind w:firstLine="708"/>
        <w:jc w:val="both"/>
        <w:rPr>
          <w:rFonts w:ascii="Garamond" w:hAnsi="Garamond"/>
        </w:rPr>
      </w:pPr>
    </w:p>
    <w:p w:rsidR="00370D0C" w:rsidRPr="007B019E" w:rsidRDefault="00370D0C" w:rsidP="00370D0C">
      <w:pPr>
        <w:ind w:firstLine="708"/>
        <w:jc w:val="both"/>
        <w:rPr>
          <w:rFonts w:ascii="Garamond" w:hAnsi="Garamond"/>
        </w:rPr>
      </w:pPr>
    </w:p>
    <w:p w:rsidR="00370D0C" w:rsidRPr="007B019E" w:rsidRDefault="00370D0C" w:rsidP="00370D0C">
      <w:pPr>
        <w:ind w:firstLine="708"/>
        <w:jc w:val="both"/>
        <w:rPr>
          <w:rFonts w:ascii="Garamond" w:hAnsi="Garamond"/>
        </w:rPr>
      </w:pPr>
    </w:p>
    <w:p w:rsidR="00370D0C" w:rsidRPr="007B019E" w:rsidRDefault="00370D0C" w:rsidP="00370D0C">
      <w:pPr>
        <w:jc w:val="both"/>
        <w:rPr>
          <w:rFonts w:ascii="Garamond" w:hAnsi="Garamond"/>
        </w:rPr>
      </w:pPr>
    </w:p>
    <w:p w:rsidR="00370D0C" w:rsidRPr="007B019E" w:rsidRDefault="00370D0C" w:rsidP="00370D0C">
      <w:pPr>
        <w:rPr>
          <w:rFonts w:ascii="Garamond" w:hAnsi="Garamond"/>
        </w:rPr>
      </w:pPr>
    </w:p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/>
    <w:p w:rsidR="00370D0C" w:rsidRDefault="00370D0C" w:rsidP="00370D0C">
      <w:pPr>
        <w:pStyle w:val="Nadpis1"/>
        <w:rPr>
          <w:sz w:val="48"/>
          <w:szCs w:val="48"/>
        </w:rPr>
      </w:pPr>
    </w:p>
    <w:p w:rsidR="004D2CBA" w:rsidRDefault="004D2CBA"/>
    <w:sectPr w:rsidR="004D2CBA" w:rsidSect="004D2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0D0C"/>
    <w:rsid w:val="00227921"/>
    <w:rsid w:val="00370D0C"/>
    <w:rsid w:val="004D2CBA"/>
    <w:rsid w:val="00641004"/>
    <w:rsid w:val="008E2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0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E2632"/>
    <w:pPr>
      <w:keepNext/>
      <w:outlineLvl w:val="0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E2632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E26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kladntext">
    <w:name w:val="Body Text"/>
    <w:basedOn w:val="Normln"/>
    <w:link w:val="ZkladntextChar"/>
    <w:uiPriority w:val="99"/>
    <w:unhideWhenUsed/>
    <w:rsid w:val="00370D0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370D0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370D0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884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sramek</dc:creator>
  <cp:keywords/>
  <dc:description/>
  <cp:lastModifiedBy>sramek</cp:lastModifiedBy>
  <cp:revision>2</cp:revision>
  <dcterms:created xsi:type="dcterms:W3CDTF">2023-03-15T14:07:00Z</dcterms:created>
  <dcterms:modified xsi:type="dcterms:W3CDTF">2023-03-15T14:27:00Z</dcterms:modified>
</cp:coreProperties>
</file>